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3E6A" w14:textId="77777777" w:rsidR="003019CC" w:rsidRDefault="003019CC" w:rsidP="00315FC5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</w:p>
    <w:p w14:paraId="0323D284" w14:textId="391BC76C" w:rsidR="0081513C" w:rsidRPr="00716C9A" w:rsidRDefault="000E64D2" w:rsidP="00315FC5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  <w:r w:rsidRPr="00716C9A">
        <w:rPr>
          <w:rFonts w:cstheme="minorHAnsi"/>
          <w:b/>
          <w:bCs/>
          <w:sz w:val="24"/>
          <w:szCs w:val="24"/>
        </w:rPr>
        <w:t>RELACIONAMENTO OPERACIONAL PARA MICROGERAÇÃO DISTRIBUÍDA</w:t>
      </w:r>
    </w:p>
    <w:p w14:paraId="4371F490" w14:textId="77777777" w:rsidR="008C3F1B" w:rsidRPr="00716C9A" w:rsidRDefault="008C3F1B" w:rsidP="00315FC5">
      <w:pPr>
        <w:pStyle w:val="SemEspaamento"/>
        <w:jc w:val="both"/>
        <w:rPr>
          <w:rFonts w:cstheme="minorHAnsi"/>
          <w:b/>
          <w:bCs/>
          <w:sz w:val="24"/>
          <w:szCs w:val="24"/>
        </w:rPr>
      </w:pPr>
    </w:p>
    <w:p w14:paraId="104FD0F9" w14:textId="77777777" w:rsidR="0081513C" w:rsidRPr="00716C9A" w:rsidRDefault="0081513C" w:rsidP="00315FC5">
      <w:pPr>
        <w:pStyle w:val="SemEspaamento"/>
        <w:jc w:val="both"/>
        <w:rPr>
          <w:rFonts w:cstheme="minorHAnsi"/>
          <w:b/>
          <w:bCs/>
          <w:sz w:val="24"/>
          <w:szCs w:val="24"/>
        </w:rPr>
      </w:pPr>
      <w:r w:rsidRPr="00716C9A">
        <w:rPr>
          <w:rFonts w:cstheme="minorHAnsi"/>
          <w:b/>
          <w:bCs/>
          <w:sz w:val="24"/>
          <w:szCs w:val="24"/>
        </w:rPr>
        <w:t>ADESÃO AO SISTEMA DE COMPENSAÇÃO DE ENERGIA ELÉTRICA</w:t>
      </w:r>
    </w:p>
    <w:p w14:paraId="61108AB8" w14:textId="77777777" w:rsidR="0081513C" w:rsidRPr="00716C9A" w:rsidRDefault="0081513C" w:rsidP="00315FC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716C9A">
        <w:rPr>
          <w:rFonts w:cstheme="minorHAnsi"/>
          <w:b/>
          <w:bCs/>
          <w:color w:val="1F1A17"/>
          <w:sz w:val="24"/>
          <w:szCs w:val="24"/>
        </w:rPr>
        <w:t>CLÁUSULA PRIMEIRA: DO OBJETO</w:t>
      </w:r>
    </w:p>
    <w:p w14:paraId="1D7B73BD" w14:textId="7672E791" w:rsidR="0081513C" w:rsidRPr="00716C9A" w:rsidRDefault="0081513C" w:rsidP="00315FC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 xml:space="preserve">1. Este documento contém as principais condições referentes ao Relacionamento Operacional entre o proprietário de sistema de microgeração distribuída e responsável pela unidade consumidora que adere ao Sistema de Compensação de Energia Elétrica </w:t>
      </w:r>
      <w:r w:rsidRPr="00671C0F">
        <w:rPr>
          <w:rFonts w:eastAsia="CIDFont+F1" w:cstheme="minorHAnsi"/>
          <w:color w:val="FF0000"/>
          <w:sz w:val="24"/>
          <w:szCs w:val="24"/>
        </w:rPr>
        <w:t>(nome do proprietário) (CPF/Identidade</w:t>
      </w:r>
      <w:r w:rsidR="00671C0F" w:rsidRPr="00671C0F">
        <w:rPr>
          <w:rFonts w:eastAsia="CIDFont+F1" w:cstheme="minorHAnsi"/>
          <w:color w:val="FF0000"/>
          <w:sz w:val="24"/>
          <w:szCs w:val="24"/>
        </w:rPr>
        <w:t xml:space="preserve"> ou </w:t>
      </w:r>
      <w:r w:rsidRPr="00671C0F">
        <w:rPr>
          <w:rFonts w:eastAsia="CIDFont+F1" w:cstheme="minorHAnsi"/>
          <w:color w:val="FF0000"/>
          <w:sz w:val="24"/>
          <w:szCs w:val="24"/>
        </w:rPr>
        <w:t>CNPJ); (endereço da localização da microgeração);</w:t>
      </w:r>
      <w:r w:rsidR="008C3F1B" w:rsidRPr="00671C0F">
        <w:rPr>
          <w:rFonts w:eastAsia="CIDFont+F1" w:cstheme="minorHAnsi"/>
          <w:color w:val="FF0000"/>
          <w:sz w:val="24"/>
          <w:szCs w:val="24"/>
        </w:rPr>
        <w:t xml:space="preserve"> </w:t>
      </w:r>
      <w:r w:rsidRPr="00671C0F">
        <w:rPr>
          <w:rFonts w:eastAsia="CIDFont+F1" w:cstheme="minorHAnsi"/>
          <w:color w:val="FF0000"/>
          <w:sz w:val="24"/>
          <w:szCs w:val="24"/>
        </w:rPr>
        <w:t>(Cidade); (Estado); (UF); (</w:t>
      </w:r>
      <w:r w:rsidR="00902805">
        <w:rPr>
          <w:rFonts w:eastAsia="CIDFont+F1" w:cstheme="minorHAnsi"/>
          <w:color w:val="FF0000"/>
          <w:sz w:val="24"/>
          <w:szCs w:val="24"/>
        </w:rPr>
        <w:t xml:space="preserve">UC XXXXX - </w:t>
      </w:r>
      <w:r w:rsidRPr="00671C0F">
        <w:rPr>
          <w:rFonts w:eastAsia="CIDFont+F1" w:cstheme="minorHAnsi"/>
          <w:color w:val="FF0000"/>
          <w:sz w:val="24"/>
          <w:szCs w:val="24"/>
        </w:rPr>
        <w:t>número de referência da unidade consumidora)</w:t>
      </w:r>
      <w:r w:rsidRPr="00716C9A">
        <w:rPr>
          <w:rFonts w:eastAsia="CIDFont+F1" w:cstheme="minorHAnsi"/>
          <w:color w:val="0000FF"/>
          <w:sz w:val="24"/>
          <w:szCs w:val="24"/>
        </w:rPr>
        <w:t xml:space="preserve"> </w:t>
      </w:r>
      <w:r w:rsidRPr="00716C9A">
        <w:rPr>
          <w:rFonts w:eastAsia="CIDFont+F1" w:cstheme="minorHAnsi"/>
          <w:color w:val="1F1A17"/>
          <w:sz w:val="24"/>
          <w:szCs w:val="24"/>
        </w:rPr>
        <w:t xml:space="preserve">e a </w:t>
      </w:r>
      <w:r w:rsidRPr="00716C9A">
        <w:rPr>
          <w:rFonts w:eastAsia="CIDFont+F1" w:cstheme="minorHAnsi"/>
          <w:b/>
          <w:bCs/>
          <w:sz w:val="24"/>
          <w:szCs w:val="24"/>
        </w:rPr>
        <w:t>CRELUZ Cooperativa de Distribuição de Energia.</w:t>
      </w:r>
    </w:p>
    <w:p w14:paraId="2792FF92" w14:textId="72096039" w:rsidR="0081513C" w:rsidRPr="00716C9A" w:rsidRDefault="0081513C" w:rsidP="00315FC5">
      <w:pPr>
        <w:pStyle w:val="SemEspaamento"/>
        <w:jc w:val="both"/>
        <w:rPr>
          <w:rFonts w:eastAsia="CIDFont+F1" w:cstheme="minorHAnsi"/>
          <w:b/>
          <w:bCs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 xml:space="preserve">2. Este documento prevê a operação segura e ordenada das instalações elétricas interligando o sistema de microgeração ao sistema de distribuição de energia elétrica da </w:t>
      </w:r>
      <w:r w:rsidRPr="00716C9A">
        <w:rPr>
          <w:rFonts w:eastAsia="CIDFont+F1" w:cstheme="minorHAnsi"/>
          <w:b/>
          <w:bCs/>
          <w:sz w:val="24"/>
          <w:szCs w:val="24"/>
        </w:rPr>
        <w:t>CRELUZ</w:t>
      </w:r>
      <w:r w:rsidR="008C3F1B" w:rsidRPr="00716C9A">
        <w:rPr>
          <w:rFonts w:eastAsia="CIDFont+F1" w:cstheme="minorHAnsi"/>
          <w:b/>
          <w:bCs/>
          <w:sz w:val="24"/>
          <w:szCs w:val="24"/>
        </w:rPr>
        <w:t>.</w:t>
      </w:r>
    </w:p>
    <w:p w14:paraId="77E4FA9A" w14:textId="7EB8BC39" w:rsidR="0081513C" w:rsidRPr="00716C9A" w:rsidRDefault="0081513C" w:rsidP="009C510F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 xml:space="preserve">3. Para os efeitos deste Relacionamento Operacional são adotadas as definições contidas nas </w:t>
      </w:r>
      <w:r w:rsidR="009C510F" w:rsidRPr="009C510F">
        <w:rPr>
          <w:rFonts w:eastAsia="CIDFont+F1" w:cstheme="minorHAnsi"/>
          <w:color w:val="1F1A17"/>
          <w:sz w:val="24"/>
          <w:szCs w:val="24"/>
        </w:rPr>
        <w:t>Regras de Prestação do Serviço Público de Distribuição de Energia Elétrica e na Resolução</w:t>
      </w:r>
      <w:r w:rsidR="009C510F">
        <w:rPr>
          <w:rFonts w:eastAsia="CIDFont+F1" w:cstheme="minorHAnsi"/>
          <w:color w:val="1F1A17"/>
          <w:sz w:val="24"/>
          <w:szCs w:val="24"/>
        </w:rPr>
        <w:t xml:space="preserve"> </w:t>
      </w:r>
      <w:r w:rsidR="009C510F" w:rsidRPr="009C510F">
        <w:rPr>
          <w:rFonts w:eastAsia="CIDFont+F1" w:cstheme="minorHAnsi"/>
          <w:color w:val="1F1A17"/>
          <w:sz w:val="24"/>
          <w:szCs w:val="24"/>
        </w:rPr>
        <w:t xml:space="preserve">Normativa nº 482, de 17 de abril de 2012. </w:t>
      </w:r>
    </w:p>
    <w:p w14:paraId="266EE434" w14:textId="77777777" w:rsidR="0081513C" w:rsidRPr="00716C9A" w:rsidRDefault="0081513C" w:rsidP="00315FC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716C9A">
        <w:rPr>
          <w:rFonts w:cstheme="minorHAnsi"/>
          <w:b/>
          <w:bCs/>
          <w:color w:val="1F1A17"/>
          <w:sz w:val="24"/>
          <w:szCs w:val="24"/>
        </w:rPr>
        <w:t>CLÁUSULA SEGUNDA: DO PRAZO DE VIGÊNCIA</w:t>
      </w:r>
    </w:p>
    <w:p w14:paraId="073554EB" w14:textId="77777777" w:rsidR="0081513C" w:rsidRPr="00716C9A" w:rsidRDefault="0081513C" w:rsidP="00315FC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>4. Conforme Contrato de Fornecimento, Contrato de Uso do Sistema de Distribuição ou</w:t>
      </w:r>
    </w:p>
    <w:p w14:paraId="24076D6D" w14:textId="2DA3C491" w:rsidR="0081513C" w:rsidRPr="00716C9A" w:rsidRDefault="0081513C" w:rsidP="009C510F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>Contrato de Adesão disciplinado pela</w:t>
      </w:r>
      <w:r w:rsidR="009C510F">
        <w:rPr>
          <w:rFonts w:eastAsia="CIDFont+F1" w:cstheme="minorHAnsi"/>
          <w:color w:val="1F1A17"/>
          <w:sz w:val="24"/>
          <w:szCs w:val="24"/>
        </w:rPr>
        <w:t>s</w:t>
      </w:r>
      <w:r w:rsidRPr="00716C9A">
        <w:rPr>
          <w:rFonts w:eastAsia="CIDFont+F1" w:cstheme="minorHAnsi"/>
          <w:color w:val="1F1A17"/>
          <w:sz w:val="24"/>
          <w:szCs w:val="24"/>
        </w:rPr>
        <w:t xml:space="preserve"> </w:t>
      </w:r>
      <w:r w:rsidR="009C510F" w:rsidRPr="009C510F">
        <w:rPr>
          <w:rFonts w:eastAsia="CIDFont+F1" w:cstheme="minorHAnsi"/>
          <w:color w:val="1F1A17"/>
          <w:sz w:val="24"/>
          <w:szCs w:val="24"/>
        </w:rPr>
        <w:t>Regras de Prestação do Serviço Público de Distribuição de Energia</w:t>
      </w:r>
      <w:r w:rsidR="009C510F">
        <w:rPr>
          <w:rFonts w:eastAsia="CIDFont+F1" w:cstheme="minorHAnsi"/>
          <w:color w:val="1F1A17"/>
          <w:sz w:val="24"/>
          <w:szCs w:val="24"/>
        </w:rPr>
        <w:t xml:space="preserve"> </w:t>
      </w:r>
      <w:r w:rsidR="009C510F" w:rsidRPr="009C510F">
        <w:rPr>
          <w:rFonts w:eastAsia="CIDFont+F1" w:cstheme="minorHAnsi"/>
          <w:color w:val="1F1A17"/>
          <w:sz w:val="24"/>
          <w:szCs w:val="24"/>
        </w:rPr>
        <w:t>Elétrica.</w:t>
      </w:r>
    </w:p>
    <w:p w14:paraId="4BFDAEF6" w14:textId="40FDC230" w:rsidR="0081513C" w:rsidRPr="00716C9A" w:rsidRDefault="0081513C" w:rsidP="00F45371">
      <w:pPr>
        <w:pStyle w:val="SemEspaamento"/>
        <w:tabs>
          <w:tab w:val="left" w:pos="5655"/>
        </w:tabs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716C9A">
        <w:rPr>
          <w:rFonts w:cstheme="minorHAnsi"/>
          <w:b/>
          <w:bCs/>
          <w:color w:val="1F1A17"/>
          <w:sz w:val="24"/>
          <w:szCs w:val="24"/>
        </w:rPr>
        <w:t>CLÁUSULA TERCEIRA: DA ABRANGÊNCIA</w:t>
      </w:r>
      <w:r w:rsidR="00F45371" w:rsidRPr="00716C9A">
        <w:rPr>
          <w:rFonts w:cstheme="minorHAnsi"/>
          <w:b/>
          <w:bCs/>
          <w:color w:val="1F1A17"/>
          <w:sz w:val="24"/>
          <w:szCs w:val="24"/>
        </w:rPr>
        <w:tab/>
      </w:r>
    </w:p>
    <w:p w14:paraId="231CF9FD" w14:textId="74B46151" w:rsidR="0081513C" w:rsidRPr="00716C9A" w:rsidRDefault="0081513C" w:rsidP="00315FC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>5. Este Relacionamento Operacional aplica-se à interconexão de sistema de microgeração distribuída aos sistemas de distribuição.</w:t>
      </w:r>
    </w:p>
    <w:p w14:paraId="29AF20D9" w14:textId="77777777" w:rsidR="0081513C" w:rsidRPr="00716C9A" w:rsidRDefault="0081513C" w:rsidP="00F82172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>6. Entende-se por microgeração distribuída a central geradora de energia elétrica com</w:t>
      </w:r>
    </w:p>
    <w:p w14:paraId="1ACFE881" w14:textId="0F4F557B" w:rsidR="0081513C" w:rsidRPr="00716C9A" w:rsidRDefault="0081513C" w:rsidP="00F82172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>potência instalada menor ou igual a 75 kW, conforme definição dada pela Resolução</w:t>
      </w:r>
      <w:r w:rsidR="00F82172">
        <w:rPr>
          <w:rFonts w:eastAsia="CIDFont+F1" w:cstheme="minorHAnsi"/>
          <w:color w:val="1F1A17"/>
          <w:sz w:val="24"/>
          <w:szCs w:val="24"/>
        </w:rPr>
        <w:t xml:space="preserve"> </w:t>
      </w:r>
      <w:r w:rsidRPr="00716C9A">
        <w:rPr>
          <w:rFonts w:eastAsia="CIDFont+F1" w:cstheme="minorHAnsi"/>
          <w:color w:val="1F1A17"/>
          <w:sz w:val="24"/>
          <w:szCs w:val="24"/>
        </w:rPr>
        <w:t>Normativa nº 482/2012.</w:t>
      </w:r>
    </w:p>
    <w:p w14:paraId="1C1D1BAB" w14:textId="77777777" w:rsidR="0081513C" w:rsidRPr="00716C9A" w:rsidRDefault="0081513C" w:rsidP="00315FC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716C9A">
        <w:rPr>
          <w:rFonts w:cstheme="minorHAnsi"/>
          <w:b/>
          <w:bCs/>
          <w:color w:val="1F1A17"/>
          <w:sz w:val="24"/>
          <w:szCs w:val="24"/>
        </w:rPr>
        <w:t>CLÁUSULA QUARTA: DA ESTRUTURA DE RELACIONAMENTO OPERACIONAL</w:t>
      </w:r>
    </w:p>
    <w:p w14:paraId="6163E8A0" w14:textId="58740C4E" w:rsidR="0081513C" w:rsidRPr="00716C9A" w:rsidRDefault="0081513C" w:rsidP="00315FC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>7. A estrutura responsável pela execução da coordenação, supervisão, controle e comando das instalações de conexão é composta por:</w:t>
      </w:r>
    </w:p>
    <w:p w14:paraId="50E032E4" w14:textId="681C1CF9" w:rsidR="0081513C" w:rsidRPr="00716C9A" w:rsidRDefault="0081513C" w:rsidP="00315FC5">
      <w:pPr>
        <w:pStyle w:val="SemEspaamento"/>
        <w:jc w:val="both"/>
        <w:rPr>
          <w:rFonts w:eastAsia="CIDFont+F1" w:cstheme="minorHAnsi"/>
          <w:color w:val="FF0000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 xml:space="preserve">Pela distribuidora: </w:t>
      </w:r>
      <w:r w:rsidRPr="00716C9A">
        <w:rPr>
          <w:rFonts w:eastAsia="CIDFont+F1" w:cstheme="minorHAnsi"/>
          <w:sz w:val="24"/>
          <w:szCs w:val="24"/>
        </w:rPr>
        <w:t>Centro de Operação da Distribuição – COD – Telefone 55 3754 1800.</w:t>
      </w:r>
    </w:p>
    <w:p w14:paraId="5A2BAB20" w14:textId="5850C510" w:rsidR="003D4A36" w:rsidRPr="00716C9A" w:rsidRDefault="0081513C" w:rsidP="00315FC5">
      <w:pPr>
        <w:pStyle w:val="SemEspaamento"/>
        <w:jc w:val="both"/>
        <w:rPr>
          <w:rFonts w:eastAsia="CIDFont+F1" w:cstheme="minorHAnsi"/>
          <w:color w:val="0000FF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 xml:space="preserve">Pelo responsável pelo sistema de microgeração: </w:t>
      </w:r>
      <w:r w:rsidRPr="00671C0F">
        <w:rPr>
          <w:rFonts w:eastAsia="CIDFont+F1" w:cstheme="minorHAnsi"/>
          <w:color w:val="FF0000"/>
          <w:sz w:val="24"/>
          <w:szCs w:val="24"/>
        </w:rPr>
        <w:t>(nome</w:t>
      </w:r>
      <w:r w:rsidR="008C3F1B" w:rsidRPr="00671C0F">
        <w:rPr>
          <w:rFonts w:eastAsia="CIDFont+F1" w:cstheme="minorHAnsi"/>
          <w:color w:val="FF0000"/>
          <w:sz w:val="24"/>
          <w:szCs w:val="24"/>
        </w:rPr>
        <w:t xml:space="preserve"> completo</w:t>
      </w:r>
      <w:r w:rsidRPr="00671C0F">
        <w:rPr>
          <w:rFonts w:eastAsia="CIDFont+F1" w:cstheme="minorHAnsi"/>
          <w:color w:val="FF0000"/>
          <w:sz w:val="24"/>
          <w:szCs w:val="24"/>
        </w:rPr>
        <w:t xml:space="preserve"> – telefone de contato)</w:t>
      </w:r>
    </w:p>
    <w:p w14:paraId="4AE36F5A" w14:textId="77777777" w:rsidR="0081513C" w:rsidRPr="00716C9A" w:rsidRDefault="0081513C" w:rsidP="00315FC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716C9A">
        <w:rPr>
          <w:rFonts w:cstheme="minorHAnsi"/>
          <w:b/>
          <w:bCs/>
          <w:color w:val="1F1A17"/>
          <w:sz w:val="24"/>
          <w:szCs w:val="24"/>
        </w:rPr>
        <w:t>CLÁUSULA QUINTA: DO SISTEMA DE MICROGERAÇÃO DISTRIBUÍDA</w:t>
      </w:r>
    </w:p>
    <w:p w14:paraId="228F22A2" w14:textId="5715D5B4" w:rsidR="0081513C" w:rsidRPr="00671C0F" w:rsidRDefault="0081513C" w:rsidP="00315FC5">
      <w:pPr>
        <w:pStyle w:val="SemEspaamento"/>
        <w:jc w:val="both"/>
        <w:rPr>
          <w:rFonts w:eastAsia="CIDFont+F1" w:cstheme="minorHAnsi"/>
          <w:color w:val="FF0000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 xml:space="preserve">8. O sistema de microgeração compreende: gerador </w:t>
      </w:r>
      <w:r w:rsidRPr="00671C0F">
        <w:rPr>
          <w:rFonts w:eastAsia="CIDFont+F1" w:cstheme="minorHAnsi"/>
          <w:color w:val="FF0000"/>
          <w:sz w:val="24"/>
          <w:szCs w:val="24"/>
        </w:rPr>
        <w:t xml:space="preserve">(fonte); (capacidade instalada – kW); (descrição) </w:t>
      </w:r>
      <w:r w:rsidRPr="00716C9A">
        <w:rPr>
          <w:rFonts w:eastAsia="CIDFont+F1" w:cstheme="minorHAnsi"/>
          <w:color w:val="1F1A17"/>
          <w:sz w:val="24"/>
          <w:szCs w:val="24"/>
        </w:rPr>
        <w:t xml:space="preserve">conectado ao sistema de distribuição através </w:t>
      </w:r>
      <w:r w:rsidRPr="00671C0F">
        <w:rPr>
          <w:rFonts w:eastAsia="CIDFont+F1" w:cstheme="minorHAnsi"/>
          <w:color w:val="FF0000"/>
          <w:sz w:val="24"/>
          <w:szCs w:val="24"/>
        </w:rPr>
        <w:t xml:space="preserve">(descrição do ponto de conexão – tensão – </w:t>
      </w:r>
      <w:r w:rsidR="00902805">
        <w:rPr>
          <w:rFonts w:eastAsia="CIDFont+F1" w:cstheme="minorHAnsi"/>
          <w:color w:val="FF0000"/>
          <w:sz w:val="24"/>
          <w:szCs w:val="24"/>
        </w:rPr>
        <w:t xml:space="preserve">Elemento de </w:t>
      </w:r>
      <w:r w:rsidRPr="00671C0F">
        <w:rPr>
          <w:rFonts w:eastAsia="CIDFont+F1" w:cstheme="minorHAnsi"/>
          <w:color w:val="FF0000"/>
          <w:sz w:val="24"/>
          <w:szCs w:val="24"/>
        </w:rPr>
        <w:t>secciona</w:t>
      </w:r>
      <w:r w:rsidR="00902805">
        <w:rPr>
          <w:rFonts w:eastAsia="CIDFont+F1" w:cstheme="minorHAnsi"/>
          <w:color w:val="FF0000"/>
          <w:sz w:val="24"/>
          <w:szCs w:val="24"/>
        </w:rPr>
        <w:t>mento</w:t>
      </w:r>
      <w:r w:rsidRPr="00671C0F">
        <w:rPr>
          <w:rFonts w:eastAsia="CIDFont+F1" w:cstheme="minorHAnsi"/>
          <w:color w:val="FF0000"/>
          <w:sz w:val="24"/>
          <w:szCs w:val="24"/>
        </w:rPr>
        <w:t xml:space="preserve"> –</w:t>
      </w:r>
      <w:r w:rsidR="00902805">
        <w:rPr>
          <w:rFonts w:eastAsia="CIDFont+F1" w:cstheme="minorHAnsi"/>
          <w:color w:val="FF0000"/>
          <w:sz w:val="24"/>
          <w:szCs w:val="24"/>
        </w:rPr>
        <w:t xml:space="preserve"> </w:t>
      </w:r>
      <w:r w:rsidRPr="00671C0F">
        <w:rPr>
          <w:rFonts w:eastAsia="CIDFont+F1" w:cstheme="minorHAnsi"/>
          <w:color w:val="FF0000"/>
          <w:sz w:val="24"/>
          <w:szCs w:val="24"/>
        </w:rPr>
        <w:t>condições de acesso para a manutenção do ponto de conexão).</w:t>
      </w:r>
    </w:p>
    <w:p w14:paraId="68306423" w14:textId="77777777" w:rsidR="0081513C" w:rsidRPr="00716C9A" w:rsidRDefault="0081513C" w:rsidP="00315FC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716C9A">
        <w:rPr>
          <w:rFonts w:cstheme="minorHAnsi"/>
          <w:b/>
          <w:bCs/>
          <w:color w:val="1F1A17"/>
          <w:sz w:val="24"/>
          <w:szCs w:val="24"/>
        </w:rPr>
        <w:t>CLÁUSULA SEXTA: DAS RESPONSABILIDADES NO RELACIONAMENTO OPERACIONAL</w:t>
      </w:r>
    </w:p>
    <w:p w14:paraId="2CC87623" w14:textId="0791F469" w:rsidR="0081513C" w:rsidRPr="00716C9A" w:rsidRDefault="0081513C" w:rsidP="00315FC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>9. A área responsável da distribuidora orientará o responsável pelo sistema de microgeração distribuída sobre as atividades de coordenação e supervisão da operação, e sobre possíveis intervenções e desligamentos envolvendo os equipamentos e as instalações do sistema de distribuição, incluídas as instalações de conexão.</w:t>
      </w:r>
    </w:p>
    <w:p w14:paraId="4D5C1498" w14:textId="738412F6" w:rsidR="0081513C" w:rsidRPr="00716C9A" w:rsidRDefault="0081513C" w:rsidP="00315FC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>10. Caso necessitem de intervenção ou desligamento, ambas as partes se obrigam a fornecer com o máximo de antecedência possível um plano para minimizar o tempo de interrupção que, em casos de emergência, não sendo possíveis tais informações, as interrupções serão coordenadas pelos encarregados das respectivas instalações.</w:t>
      </w:r>
    </w:p>
    <w:p w14:paraId="608EEA00" w14:textId="77777777" w:rsidR="0081513C" w:rsidRPr="00716C9A" w:rsidRDefault="0081513C" w:rsidP="00315FC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>11. As partes se obrigam a efetuar comunicação formal sobre quaisquer alterações nas</w:t>
      </w:r>
    </w:p>
    <w:p w14:paraId="3DDFF9BB" w14:textId="77777777" w:rsidR="009C510F" w:rsidRDefault="009C510F" w:rsidP="00315FC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0CDA9892" w14:textId="238173B8" w:rsidR="003019CC" w:rsidRPr="008E0722" w:rsidRDefault="0081513C" w:rsidP="00315FC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>instalações do</w:t>
      </w:r>
      <w:r w:rsidR="009C510F">
        <w:rPr>
          <w:rFonts w:eastAsia="CIDFont+F1" w:cstheme="minorHAnsi"/>
          <w:color w:val="1F1A17"/>
          <w:sz w:val="24"/>
          <w:szCs w:val="24"/>
        </w:rPr>
        <w:t xml:space="preserve"> </w:t>
      </w:r>
      <w:r w:rsidRPr="00716C9A">
        <w:rPr>
          <w:rFonts w:eastAsia="CIDFont+F1" w:cstheme="minorHAnsi"/>
          <w:color w:val="1F1A17"/>
          <w:sz w:val="24"/>
          <w:szCs w:val="24"/>
        </w:rPr>
        <w:t>microgerador e da distribuidora.</w:t>
      </w:r>
    </w:p>
    <w:p w14:paraId="447AC56F" w14:textId="18BFB049" w:rsidR="0081513C" w:rsidRPr="00716C9A" w:rsidRDefault="0081513C" w:rsidP="00315FC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716C9A">
        <w:rPr>
          <w:rFonts w:cstheme="minorHAnsi"/>
          <w:b/>
          <w:bCs/>
          <w:color w:val="1F1A17"/>
          <w:sz w:val="24"/>
          <w:szCs w:val="24"/>
        </w:rPr>
        <w:t>CLÁUSULA SÉTIMA: DAS CONDIÇOES DE SEGURANÇA</w:t>
      </w:r>
    </w:p>
    <w:p w14:paraId="26E32D90" w14:textId="513672DE" w:rsidR="0081513C" w:rsidRPr="00716C9A" w:rsidRDefault="0081513C" w:rsidP="00315FC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 xml:space="preserve">12. A área responsável da </w:t>
      </w:r>
      <w:r w:rsidR="008C3F1B" w:rsidRPr="00716C9A">
        <w:rPr>
          <w:rFonts w:eastAsia="CIDFont+F1" w:cstheme="minorHAnsi"/>
          <w:b/>
          <w:bCs/>
          <w:color w:val="1F1A17"/>
          <w:sz w:val="24"/>
          <w:szCs w:val="24"/>
        </w:rPr>
        <w:t>CRELUZ</w:t>
      </w:r>
      <w:r w:rsidR="008C3F1B" w:rsidRPr="00716C9A">
        <w:rPr>
          <w:rFonts w:eastAsia="CIDFont+F1" w:cstheme="minorHAnsi"/>
          <w:color w:val="1F1A17"/>
          <w:sz w:val="24"/>
          <w:szCs w:val="24"/>
        </w:rPr>
        <w:t xml:space="preserve"> </w:t>
      </w:r>
      <w:r w:rsidRPr="00716C9A">
        <w:rPr>
          <w:rFonts w:eastAsia="CIDFont+F1" w:cstheme="minorHAnsi"/>
          <w:color w:val="1F1A17"/>
          <w:sz w:val="24"/>
          <w:szCs w:val="24"/>
        </w:rPr>
        <w:t>orientará o responsável pelo sistema de microgeração distribuída sobre os aspectos de segurança do pessoal durante a execução dos serviços com equipamento desenergizado, relacionando e anexando as normas e/ou instruções de segurança e outros procedimentos a serem seguidos para garantir a segurança do pessoal e de terceiros durante a execução dos serviços em equipamento desenergizado.</w:t>
      </w:r>
    </w:p>
    <w:p w14:paraId="07105086" w14:textId="1967F545" w:rsidR="0081513C" w:rsidRPr="00716C9A" w:rsidRDefault="0081513C" w:rsidP="00315FC5">
      <w:pPr>
        <w:pStyle w:val="SemEspaamento"/>
        <w:jc w:val="both"/>
        <w:rPr>
          <w:rFonts w:cstheme="minorHAnsi"/>
          <w:color w:val="1F1A17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 xml:space="preserve">13. As intervenções de qualquer natureza em equipamentos do sistema ou da instalação de conexão, só podem ser liberadas com a prévia autorização do Centro de Operação da </w:t>
      </w:r>
      <w:r w:rsidRPr="00716C9A">
        <w:rPr>
          <w:rFonts w:eastAsia="CIDFont+F1" w:cstheme="minorHAnsi"/>
          <w:b/>
          <w:bCs/>
          <w:sz w:val="24"/>
          <w:szCs w:val="24"/>
        </w:rPr>
        <w:t>CRELUZ</w:t>
      </w:r>
      <w:r w:rsidRPr="00716C9A">
        <w:rPr>
          <w:rFonts w:cstheme="minorHAnsi"/>
          <w:color w:val="1F1A17"/>
          <w:sz w:val="24"/>
          <w:szCs w:val="24"/>
        </w:rPr>
        <w:t>.</w:t>
      </w:r>
    </w:p>
    <w:p w14:paraId="5A0D3B7C" w14:textId="2F0251FE" w:rsidR="0081513C" w:rsidRPr="00716C9A" w:rsidRDefault="0081513C" w:rsidP="00315FC5">
      <w:pPr>
        <w:pStyle w:val="SemEspaamento"/>
        <w:jc w:val="both"/>
        <w:rPr>
          <w:rFonts w:cstheme="minorHAnsi"/>
          <w:b/>
          <w:bCs/>
          <w:color w:val="1F1A17"/>
          <w:sz w:val="24"/>
          <w:szCs w:val="24"/>
        </w:rPr>
      </w:pPr>
      <w:r w:rsidRPr="00716C9A">
        <w:rPr>
          <w:rFonts w:cstheme="minorHAnsi"/>
          <w:b/>
          <w:bCs/>
          <w:color w:val="1F1A17"/>
          <w:sz w:val="24"/>
          <w:szCs w:val="24"/>
        </w:rPr>
        <w:t>CLÁUSULA OITAVA: DO DESLIGAMENTO DA INTERCONEXÃO</w:t>
      </w:r>
    </w:p>
    <w:p w14:paraId="18C7B6EC" w14:textId="66A8A689" w:rsidR="0081513C" w:rsidRPr="00716C9A" w:rsidRDefault="0081513C" w:rsidP="00315FC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 xml:space="preserve">14. A </w:t>
      </w:r>
      <w:r w:rsidRPr="00716C9A">
        <w:rPr>
          <w:rFonts w:eastAsia="CIDFont+F1" w:cstheme="minorHAnsi"/>
          <w:b/>
          <w:bCs/>
          <w:sz w:val="24"/>
          <w:szCs w:val="24"/>
        </w:rPr>
        <w:t>CRELUZ</w:t>
      </w:r>
      <w:r w:rsidRPr="00716C9A">
        <w:rPr>
          <w:rFonts w:cstheme="minorHAnsi"/>
          <w:color w:val="1F1A17"/>
          <w:sz w:val="24"/>
          <w:szCs w:val="24"/>
        </w:rPr>
        <w:t xml:space="preserve"> </w:t>
      </w:r>
      <w:r w:rsidRPr="00716C9A">
        <w:rPr>
          <w:rFonts w:eastAsia="CIDFont+F1" w:cstheme="minorHAnsi"/>
          <w:color w:val="1F1A17"/>
          <w:sz w:val="24"/>
          <w:szCs w:val="24"/>
        </w:rPr>
        <w:t>poderá desconectar a unidade consumidora possuidora de sistema de microgeração de seu sistema elétrico nos casos em que: (i) a qualidade da energia</w:t>
      </w:r>
      <w:r w:rsidR="00DF53AB" w:rsidRPr="00716C9A">
        <w:rPr>
          <w:rFonts w:eastAsia="CIDFont+F1" w:cstheme="minorHAnsi"/>
          <w:color w:val="1F1A17"/>
          <w:sz w:val="24"/>
          <w:szCs w:val="24"/>
        </w:rPr>
        <w:t xml:space="preserve"> </w:t>
      </w:r>
      <w:r w:rsidRPr="00716C9A">
        <w:rPr>
          <w:rFonts w:eastAsia="CIDFont+F1" w:cstheme="minorHAnsi"/>
          <w:color w:val="1F1A17"/>
          <w:sz w:val="24"/>
          <w:szCs w:val="24"/>
        </w:rPr>
        <w:t xml:space="preserve">elétrica fornecida pelo </w:t>
      </w:r>
      <w:r w:rsidRPr="00671C0F">
        <w:rPr>
          <w:rFonts w:eastAsia="CIDFont+F1" w:cstheme="minorHAnsi"/>
          <w:color w:val="FF0000"/>
          <w:sz w:val="24"/>
          <w:szCs w:val="24"/>
        </w:rPr>
        <w:t xml:space="preserve">(proprietário do microgerador) </w:t>
      </w:r>
      <w:r w:rsidRPr="00716C9A">
        <w:rPr>
          <w:rFonts w:eastAsia="CIDFont+F1" w:cstheme="minorHAnsi"/>
          <w:color w:val="1F1A17"/>
          <w:sz w:val="24"/>
          <w:szCs w:val="24"/>
        </w:rPr>
        <w:t>não obedecer aos padrões de qualidade</w:t>
      </w:r>
      <w:r w:rsidR="00DF53AB" w:rsidRPr="00716C9A">
        <w:rPr>
          <w:rFonts w:eastAsia="CIDFont+F1" w:cstheme="minorHAnsi"/>
          <w:color w:val="1F1A17"/>
          <w:sz w:val="24"/>
          <w:szCs w:val="24"/>
        </w:rPr>
        <w:t xml:space="preserve"> </w:t>
      </w:r>
      <w:r w:rsidRPr="00716C9A">
        <w:rPr>
          <w:rFonts w:eastAsia="CIDFont+F1" w:cstheme="minorHAnsi"/>
          <w:color w:val="1F1A17"/>
          <w:sz w:val="24"/>
          <w:szCs w:val="24"/>
        </w:rPr>
        <w:t xml:space="preserve">dispostos </w:t>
      </w:r>
      <w:r w:rsidR="009C510F" w:rsidRPr="009C510F">
        <w:rPr>
          <w:rFonts w:eastAsia="CIDFont+F1" w:cstheme="minorHAnsi"/>
          <w:color w:val="1F1A17"/>
          <w:sz w:val="24"/>
          <w:szCs w:val="24"/>
        </w:rPr>
        <w:t>no PRODIST</w:t>
      </w:r>
      <w:r w:rsidRPr="00716C9A">
        <w:rPr>
          <w:rFonts w:eastAsia="CIDFont+F1" w:cstheme="minorHAnsi"/>
          <w:color w:val="1F1A17"/>
          <w:sz w:val="24"/>
          <w:szCs w:val="24"/>
        </w:rPr>
        <w:t>; e (</w:t>
      </w:r>
      <w:proofErr w:type="spellStart"/>
      <w:r w:rsidRPr="00716C9A">
        <w:rPr>
          <w:rFonts w:eastAsia="CIDFont+F1" w:cstheme="minorHAnsi"/>
          <w:color w:val="1F1A17"/>
          <w:sz w:val="24"/>
          <w:szCs w:val="24"/>
        </w:rPr>
        <w:t>ii</w:t>
      </w:r>
      <w:proofErr w:type="spellEnd"/>
      <w:r w:rsidRPr="00716C9A">
        <w:rPr>
          <w:rFonts w:eastAsia="CIDFont+F1" w:cstheme="minorHAnsi"/>
          <w:color w:val="1F1A17"/>
          <w:sz w:val="24"/>
          <w:szCs w:val="24"/>
        </w:rPr>
        <w:t>) quando a operação do sistema de microgeração</w:t>
      </w:r>
      <w:r w:rsidR="00DF53AB" w:rsidRPr="00716C9A">
        <w:rPr>
          <w:rFonts w:eastAsia="CIDFont+F1" w:cstheme="minorHAnsi"/>
          <w:color w:val="1F1A17"/>
          <w:sz w:val="24"/>
          <w:szCs w:val="24"/>
        </w:rPr>
        <w:t xml:space="preserve"> </w:t>
      </w:r>
      <w:r w:rsidRPr="00716C9A">
        <w:rPr>
          <w:rFonts w:eastAsia="CIDFont+F1" w:cstheme="minorHAnsi"/>
          <w:color w:val="1F1A17"/>
          <w:sz w:val="24"/>
          <w:szCs w:val="24"/>
        </w:rPr>
        <w:t xml:space="preserve">representar perigo à vida e às instalações da </w:t>
      </w:r>
      <w:r w:rsidR="00DF53AB" w:rsidRPr="00716C9A">
        <w:rPr>
          <w:rFonts w:eastAsia="CIDFont+F1" w:cstheme="minorHAnsi"/>
          <w:b/>
          <w:bCs/>
          <w:sz w:val="24"/>
          <w:szCs w:val="24"/>
        </w:rPr>
        <w:t>CRELUZ</w:t>
      </w:r>
      <w:r w:rsidRPr="00716C9A">
        <w:rPr>
          <w:rFonts w:eastAsia="CIDFont+F1" w:cstheme="minorHAnsi"/>
          <w:color w:val="1F1A17"/>
          <w:sz w:val="24"/>
          <w:szCs w:val="24"/>
        </w:rPr>
        <w:t>, neste caso, sem aviso</w:t>
      </w:r>
      <w:r w:rsidR="00DF53AB" w:rsidRPr="00716C9A">
        <w:rPr>
          <w:rFonts w:eastAsia="CIDFont+F1" w:cstheme="minorHAnsi"/>
          <w:color w:val="1F1A17"/>
          <w:sz w:val="24"/>
          <w:szCs w:val="24"/>
        </w:rPr>
        <w:t xml:space="preserve"> </w:t>
      </w:r>
      <w:r w:rsidRPr="00716C9A">
        <w:rPr>
          <w:rFonts w:eastAsia="CIDFont+F1" w:cstheme="minorHAnsi"/>
          <w:color w:val="1F1A17"/>
          <w:sz w:val="24"/>
          <w:szCs w:val="24"/>
        </w:rPr>
        <w:t>prévio.</w:t>
      </w:r>
    </w:p>
    <w:p w14:paraId="7D1A1CDC" w14:textId="4A614BAC" w:rsidR="009C510F" w:rsidRPr="00716C9A" w:rsidRDefault="0081513C" w:rsidP="009C510F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  <w:r w:rsidRPr="00716C9A">
        <w:rPr>
          <w:rFonts w:eastAsia="CIDFont+F1" w:cstheme="minorHAnsi"/>
          <w:color w:val="1F1A17"/>
          <w:sz w:val="24"/>
          <w:szCs w:val="24"/>
        </w:rPr>
        <w:t xml:space="preserve">15. Em quaisquer dos casos, o </w:t>
      </w:r>
      <w:r w:rsidRPr="00671C0F">
        <w:rPr>
          <w:rFonts w:eastAsia="CIDFont+F1" w:cstheme="minorHAnsi"/>
          <w:color w:val="FF0000"/>
          <w:sz w:val="24"/>
          <w:szCs w:val="24"/>
        </w:rPr>
        <w:t xml:space="preserve">(proprietário do sistema de microgeração) </w:t>
      </w:r>
      <w:r w:rsidRPr="00716C9A">
        <w:rPr>
          <w:rFonts w:eastAsia="CIDFont+F1" w:cstheme="minorHAnsi"/>
          <w:color w:val="1F1A17"/>
          <w:sz w:val="24"/>
          <w:szCs w:val="24"/>
        </w:rPr>
        <w:t>deve ser notificado</w:t>
      </w:r>
      <w:r w:rsidR="00DF53AB" w:rsidRPr="00716C9A">
        <w:rPr>
          <w:rFonts w:eastAsia="CIDFont+F1" w:cstheme="minorHAnsi"/>
          <w:color w:val="1F1A17"/>
          <w:sz w:val="24"/>
          <w:szCs w:val="24"/>
        </w:rPr>
        <w:t xml:space="preserve"> </w:t>
      </w:r>
      <w:r w:rsidRPr="00716C9A">
        <w:rPr>
          <w:rFonts w:eastAsia="CIDFont+F1" w:cstheme="minorHAnsi"/>
          <w:color w:val="1F1A17"/>
          <w:sz w:val="24"/>
          <w:szCs w:val="24"/>
        </w:rPr>
        <w:t>para execução de ações corretivas com vistas ao restabelecimento da conexão de acordo com</w:t>
      </w:r>
      <w:r w:rsidR="00DF53AB" w:rsidRPr="00716C9A">
        <w:rPr>
          <w:rFonts w:eastAsia="CIDFont+F1" w:cstheme="minorHAnsi"/>
          <w:color w:val="1F1A17"/>
          <w:sz w:val="24"/>
          <w:szCs w:val="24"/>
        </w:rPr>
        <w:t xml:space="preserve"> </w:t>
      </w:r>
      <w:r w:rsidRPr="00716C9A">
        <w:rPr>
          <w:rFonts w:eastAsia="CIDFont+F1" w:cstheme="minorHAnsi"/>
          <w:color w:val="1F1A17"/>
          <w:sz w:val="24"/>
          <w:szCs w:val="24"/>
        </w:rPr>
        <w:t xml:space="preserve">o disposto </w:t>
      </w:r>
      <w:r w:rsidR="009C510F" w:rsidRPr="009C510F">
        <w:rPr>
          <w:rFonts w:eastAsia="CIDFont+F1" w:cstheme="minorHAnsi"/>
          <w:color w:val="1F1A17"/>
          <w:sz w:val="24"/>
          <w:szCs w:val="24"/>
        </w:rPr>
        <w:t>nas Regras de Prestação do Serviço Público de Distribuição de Energia</w:t>
      </w:r>
      <w:r w:rsidR="009C510F">
        <w:rPr>
          <w:rFonts w:eastAsia="CIDFont+F1" w:cstheme="minorHAnsi"/>
          <w:color w:val="1F1A17"/>
          <w:sz w:val="24"/>
          <w:szCs w:val="24"/>
        </w:rPr>
        <w:t xml:space="preserve"> </w:t>
      </w:r>
      <w:r w:rsidR="009C510F" w:rsidRPr="009C510F">
        <w:rPr>
          <w:rFonts w:eastAsia="CIDFont+F1" w:cstheme="minorHAnsi"/>
          <w:color w:val="1F1A17"/>
          <w:sz w:val="24"/>
          <w:szCs w:val="24"/>
        </w:rPr>
        <w:t>Elétrica.</w:t>
      </w:r>
    </w:p>
    <w:p w14:paraId="7DCF760A" w14:textId="08306D6E" w:rsidR="00F45371" w:rsidRPr="00716C9A" w:rsidRDefault="00F45371" w:rsidP="00F82172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134C80E8" w14:textId="78FA082A" w:rsidR="00F45371" w:rsidRPr="00716C9A" w:rsidRDefault="00F45371" w:rsidP="00315FC5">
      <w:pPr>
        <w:pStyle w:val="SemEspaamento"/>
        <w:jc w:val="both"/>
        <w:rPr>
          <w:rFonts w:eastAsia="CIDFont+F1" w:cstheme="minorHAnsi"/>
          <w:color w:val="1F1A17"/>
          <w:sz w:val="24"/>
          <w:szCs w:val="24"/>
        </w:rPr>
      </w:pPr>
    </w:p>
    <w:p w14:paraId="2B1822D4" w14:textId="712E3350" w:rsidR="00F45371" w:rsidRPr="00671C0F" w:rsidRDefault="00F45371" w:rsidP="00F45371">
      <w:pPr>
        <w:pStyle w:val="SemEspaamento"/>
        <w:jc w:val="center"/>
        <w:rPr>
          <w:rFonts w:eastAsia="CIDFont+F1" w:cstheme="minorHAnsi"/>
          <w:color w:val="FF0000"/>
          <w:sz w:val="24"/>
          <w:szCs w:val="24"/>
        </w:rPr>
      </w:pPr>
      <w:bookmarkStart w:id="0" w:name="_Hlk82684240"/>
      <w:r w:rsidRPr="00671C0F">
        <w:rPr>
          <w:rFonts w:eastAsia="CIDFont+F1" w:cstheme="minorHAnsi"/>
          <w:color w:val="FF0000"/>
          <w:sz w:val="24"/>
          <w:szCs w:val="24"/>
        </w:rPr>
        <w:t>Cidade, Estado</w:t>
      </w:r>
      <w:r w:rsidR="00902805">
        <w:rPr>
          <w:rFonts w:eastAsia="CIDFont+F1" w:cstheme="minorHAnsi"/>
          <w:color w:val="FF0000"/>
          <w:sz w:val="24"/>
          <w:szCs w:val="24"/>
        </w:rPr>
        <w:t xml:space="preserve"> e </w:t>
      </w:r>
      <w:r w:rsidRPr="00671C0F">
        <w:rPr>
          <w:rFonts w:eastAsia="CIDFont+F1" w:cstheme="minorHAnsi"/>
          <w:color w:val="FF0000"/>
          <w:sz w:val="24"/>
          <w:szCs w:val="24"/>
        </w:rPr>
        <w:t>data.</w:t>
      </w:r>
    </w:p>
    <w:bookmarkEnd w:id="0"/>
    <w:p w14:paraId="53607C90" w14:textId="37978192" w:rsidR="00F45371" w:rsidRPr="00716C9A" w:rsidRDefault="00F45371" w:rsidP="00F45371">
      <w:pPr>
        <w:pStyle w:val="SemEspaamento"/>
        <w:jc w:val="center"/>
        <w:rPr>
          <w:rFonts w:eastAsia="CIDFont+F1" w:cstheme="minorHAnsi"/>
          <w:color w:val="0000FF"/>
          <w:sz w:val="24"/>
          <w:szCs w:val="24"/>
        </w:rPr>
      </w:pPr>
    </w:p>
    <w:p w14:paraId="4A528F09" w14:textId="77777777" w:rsidR="00F45371" w:rsidRPr="00716C9A" w:rsidRDefault="00F45371" w:rsidP="00F45371">
      <w:pPr>
        <w:pStyle w:val="SemEspaamento"/>
        <w:jc w:val="center"/>
        <w:rPr>
          <w:rFonts w:eastAsia="CIDFont+F1" w:cstheme="minorHAnsi"/>
          <w:color w:val="0000FF"/>
          <w:sz w:val="24"/>
          <w:szCs w:val="24"/>
        </w:rPr>
      </w:pPr>
    </w:p>
    <w:p w14:paraId="28F0C524" w14:textId="77777777" w:rsidR="00F45371" w:rsidRPr="00716C9A" w:rsidRDefault="00F45371" w:rsidP="00F45371">
      <w:pPr>
        <w:pStyle w:val="SemEspaamento"/>
        <w:jc w:val="center"/>
        <w:rPr>
          <w:rFonts w:eastAsia="CIDFont+F1" w:cstheme="minorHAnsi"/>
          <w:color w:val="0000FF"/>
          <w:sz w:val="24"/>
          <w:szCs w:val="24"/>
        </w:rPr>
      </w:pPr>
    </w:p>
    <w:p w14:paraId="04DCBA70" w14:textId="77777777" w:rsidR="00F45371" w:rsidRPr="00716C9A" w:rsidRDefault="00F45371" w:rsidP="00F45371">
      <w:pPr>
        <w:pStyle w:val="SemEspaamento"/>
        <w:jc w:val="center"/>
        <w:rPr>
          <w:rFonts w:eastAsia="CIDFont+F1" w:cstheme="minorHAnsi"/>
          <w:color w:val="0000FF"/>
          <w:sz w:val="24"/>
          <w:szCs w:val="24"/>
        </w:rPr>
      </w:pPr>
    </w:p>
    <w:p w14:paraId="7369345E" w14:textId="37C7BE4F" w:rsidR="00DF53AB" w:rsidRPr="00671C0F" w:rsidRDefault="00F45371" w:rsidP="00F45371">
      <w:pPr>
        <w:pStyle w:val="SemEspaamento"/>
        <w:jc w:val="center"/>
        <w:rPr>
          <w:rFonts w:cstheme="minorHAnsi"/>
          <w:color w:val="FF0000"/>
          <w:sz w:val="24"/>
          <w:szCs w:val="24"/>
        </w:rPr>
      </w:pPr>
      <w:bookmarkStart w:id="1" w:name="_Hlk82684308"/>
      <w:r w:rsidRPr="00671C0F">
        <w:rPr>
          <w:rFonts w:eastAsia="CIDFont+F1" w:cstheme="minorHAnsi"/>
          <w:color w:val="FF0000"/>
          <w:sz w:val="24"/>
          <w:szCs w:val="24"/>
        </w:rPr>
        <w:t>assinatura</w:t>
      </w:r>
    </w:p>
    <w:p w14:paraId="0B055F7E" w14:textId="40011331" w:rsidR="00F45371" w:rsidRPr="00671C0F" w:rsidRDefault="00F45371" w:rsidP="00F45371">
      <w:pPr>
        <w:pStyle w:val="SemEspaamento"/>
        <w:jc w:val="center"/>
        <w:rPr>
          <w:rFonts w:cstheme="minorHAnsi"/>
          <w:color w:val="FF0000"/>
          <w:sz w:val="24"/>
          <w:szCs w:val="24"/>
        </w:rPr>
      </w:pPr>
      <w:r w:rsidRPr="00671C0F">
        <w:rPr>
          <w:rFonts w:cstheme="minorHAnsi"/>
          <w:color w:val="FF0000"/>
          <w:sz w:val="24"/>
          <w:szCs w:val="24"/>
        </w:rPr>
        <w:t>___________________________________</w:t>
      </w:r>
    </w:p>
    <w:p w14:paraId="5E24769F" w14:textId="2F32A549" w:rsidR="00F45371" w:rsidRPr="00671C0F" w:rsidRDefault="00F45371" w:rsidP="00F45371">
      <w:pPr>
        <w:pStyle w:val="SemEspaamento"/>
        <w:jc w:val="center"/>
        <w:rPr>
          <w:rFonts w:cstheme="minorHAnsi"/>
          <w:color w:val="FF0000"/>
          <w:sz w:val="24"/>
          <w:szCs w:val="24"/>
        </w:rPr>
      </w:pPr>
      <w:r w:rsidRPr="00671C0F">
        <w:rPr>
          <w:rFonts w:eastAsia="CIDFont+F1" w:cstheme="minorHAnsi"/>
          <w:color w:val="FF0000"/>
          <w:sz w:val="24"/>
          <w:szCs w:val="24"/>
        </w:rPr>
        <w:t>Nome completo do proprietário do sistema de microgeração</w:t>
      </w:r>
      <w:bookmarkEnd w:id="1"/>
    </w:p>
    <w:sectPr w:rsidR="00F45371" w:rsidRPr="00671C0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CFA0" w14:textId="77777777" w:rsidR="003D4A36" w:rsidRDefault="003D4A36" w:rsidP="003D4A36">
      <w:pPr>
        <w:spacing w:after="0" w:line="240" w:lineRule="auto"/>
      </w:pPr>
      <w:r>
        <w:separator/>
      </w:r>
    </w:p>
  </w:endnote>
  <w:endnote w:type="continuationSeparator" w:id="0">
    <w:p w14:paraId="7668EAD4" w14:textId="77777777" w:rsidR="003D4A36" w:rsidRDefault="003D4A36" w:rsidP="003D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170630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2F969EF9" w14:textId="0466CC13" w:rsidR="00BC7108" w:rsidRPr="00937122" w:rsidRDefault="003019CC" w:rsidP="003019CC">
        <w:pPr>
          <w:pStyle w:val="Rodap"/>
          <w:jc w:val="center"/>
          <w:rPr>
            <w:rFonts w:cstheme="minorHAnsi"/>
            <w:sz w:val="20"/>
            <w:szCs w:val="20"/>
          </w:rPr>
        </w:pPr>
        <w:r w:rsidRPr="00937122">
          <w:rPr>
            <w:rFonts w:cstheme="minorHAnsi"/>
            <w:noProof/>
            <w:sz w:val="18"/>
            <w:szCs w:val="18"/>
            <w:lang w:eastAsia="pt-BR"/>
          </w:rPr>
          <w:drawing>
            <wp:anchor distT="0" distB="0" distL="114300" distR="114300" simplePos="0" relativeHeight="251663360" behindDoc="1" locked="0" layoutInCell="1" allowOverlap="1" wp14:anchorId="07068E59" wp14:editId="51A4C317">
              <wp:simplePos x="0" y="0"/>
              <wp:positionH relativeFrom="page">
                <wp:posOffset>11430</wp:posOffset>
              </wp:positionH>
              <wp:positionV relativeFrom="bottomMargin">
                <wp:posOffset>57150</wp:posOffset>
              </wp:positionV>
              <wp:extent cx="7548880" cy="667385"/>
              <wp:effectExtent l="0" t="0" r="0" b="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8880" cy="667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37122" w:rsidRPr="00937122">
          <w:rPr>
            <w:rFonts w:cstheme="minorHAnsi"/>
            <w:sz w:val="20"/>
            <w:szCs w:val="20"/>
          </w:rPr>
          <w:t xml:space="preserve">Página </w:t>
        </w:r>
        <w:r w:rsidR="00BC7108" w:rsidRPr="00937122">
          <w:rPr>
            <w:rFonts w:cstheme="minorHAnsi"/>
            <w:b/>
            <w:bCs/>
            <w:sz w:val="20"/>
            <w:szCs w:val="20"/>
          </w:rPr>
          <w:fldChar w:fldCharType="begin"/>
        </w:r>
        <w:r w:rsidR="00BC7108" w:rsidRPr="00937122">
          <w:rPr>
            <w:rFonts w:cstheme="minorHAnsi"/>
            <w:b/>
            <w:bCs/>
            <w:sz w:val="20"/>
            <w:szCs w:val="20"/>
          </w:rPr>
          <w:instrText>PAGE   \* MERGEFORMAT</w:instrText>
        </w:r>
        <w:r w:rsidR="00BC7108" w:rsidRPr="00937122">
          <w:rPr>
            <w:rFonts w:cstheme="minorHAnsi"/>
            <w:b/>
            <w:bCs/>
            <w:sz w:val="20"/>
            <w:szCs w:val="20"/>
          </w:rPr>
          <w:fldChar w:fldCharType="separate"/>
        </w:r>
        <w:r w:rsidR="00BC7108" w:rsidRPr="00937122">
          <w:rPr>
            <w:rFonts w:cstheme="minorHAnsi"/>
            <w:b/>
            <w:bCs/>
            <w:sz w:val="20"/>
            <w:szCs w:val="20"/>
          </w:rPr>
          <w:t>2</w:t>
        </w:r>
        <w:r w:rsidR="00BC7108" w:rsidRPr="00937122">
          <w:rPr>
            <w:rFonts w:cstheme="minorHAnsi"/>
            <w:b/>
            <w:bCs/>
            <w:sz w:val="20"/>
            <w:szCs w:val="20"/>
          </w:rPr>
          <w:fldChar w:fldCharType="end"/>
        </w:r>
        <w:r w:rsidR="003672E1" w:rsidRPr="00937122">
          <w:rPr>
            <w:rFonts w:cstheme="minorHAnsi"/>
            <w:sz w:val="20"/>
            <w:szCs w:val="20"/>
          </w:rPr>
          <w:t xml:space="preserve"> de 3</w:t>
        </w:r>
      </w:p>
    </w:sdtContent>
  </w:sdt>
  <w:p w14:paraId="4593D67C" w14:textId="3F1E2D78" w:rsidR="00F45371" w:rsidRDefault="00F4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804C" w14:textId="77777777" w:rsidR="003D4A36" w:rsidRDefault="003D4A36" w:rsidP="003D4A36">
      <w:pPr>
        <w:spacing w:after="0" w:line="240" w:lineRule="auto"/>
      </w:pPr>
      <w:r>
        <w:separator/>
      </w:r>
    </w:p>
  </w:footnote>
  <w:footnote w:type="continuationSeparator" w:id="0">
    <w:p w14:paraId="0C800008" w14:textId="77777777" w:rsidR="003D4A36" w:rsidRDefault="003D4A36" w:rsidP="003D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A499" w14:textId="32DFFCA9" w:rsidR="00F45371" w:rsidRDefault="003019CC">
    <w:pPr>
      <w:pStyle w:val="Cabealho"/>
    </w:pPr>
    <w:r w:rsidRPr="00F4537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A60777" wp14:editId="7F7E094B">
              <wp:simplePos x="0" y="0"/>
              <wp:positionH relativeFrom="margin">
                <wp:posOffset>1143000</wp:posOffset>
              </wp:positionH>
              <wp:positionV relativeFrom="paragraph">
                <wp:posOffset>107950</wp:posOffset>
              </wp:positionV>
              <wp:extent cx="3724910" cy="333375"/>
              <wp:effectExtent l="0" t="0" r="0" b="0"/>
              <wp:wrapSquare wrapText="bothSides"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91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C9696" w14:textId="54A67F73" w:rsidR="00F45371" w:rsidRPr="008A49BC" w:rsidRDefault="00F45371" w:rsidP="00F4537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Relacionamento Operacional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6077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0pt;margin-top:8.5pt;width:293.3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" filled="f" stroked="f">
              <v:textbox>
                <w:txbxContent>
                  <w:p w14:paraId="520C9696" w14:textId="54A67F73" w:rsidR="00F45371" w:rsidRPr="008A49BC" w:rsidRDefault="00F45371" w:rsidP="00F4537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Relacionamento Operacional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45371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E74D90" wp14:editId="1906C93B">
              <wp:simplePos x="0" y="0"/>
              <wp:positionH relativeFrom="margin">
                <wp:align>center</wp:align>
              </wp:positionH>
              <wp:positionV relativeFrom="paragraph">
                <wp:posOffset>-148590</wp:posOffset>
              </wp:positionV>
              <wp:extent cx="4392930" cy="371475"/>
              <wp:effectExtent l="0" t="0" r="0" b="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93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5D9A4" w14:textId="77777777" w:rsidR="00F45371" w:rsidRPr="008A49BC" w:rsidRDefault="00F45371" w:rsidP="00F4537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A49BC">
                            <w:rPr>
                              <w:rFonts w:ascii="Montserrat SemiBold" w:hAnsi="Montserrat SemiBold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CRELUZ COOPERATIVA DE DISTRIBUIÇÃO DE ENERGIA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74D90" id="_x0000_s1027" type="#_x0000_t202" style="position:absolute;margin-left:0;margin-top:-11.7pt;width:345.9pt;height:2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" filled="f" stroked="f">
              <v:textbox>
                <w:txbxContent>
                  <w:p w14:paraId="58B5D9A4" w14:textId="77777777" w:rsidR="00F45371" w:rsidRPr="008A49BC" w:rsidRDefault="00F45371" w:rsidP="00F4537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8A49BC">
                      <w:rPr>
                        <w:rFonts w:ascii="Montserrat SemiBold" w:hAnsi="Montserrat SemiBold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CRELUZ COOPERATIVA DE DISTRIBUIÇÃO DE ENERGIA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45371">
      <w:rPr>
        <w:noProof/>
      </w:rPr>
      <w:drawing>
        <wp:anchor distT="0" distB="0" distL="114300" distR="114300" simplePos="0" relativeHeight="251659264" behindDoc="0" locked="0" layoutInCell="1" allowOverlap="1" wp14:anchorId="04324A49" wp14:editId="44BA06B0">
          <wp:simplePos x="0" y="0"/>
          <wp:positionH relativeFrom="page">
            <wp:posOffset>3810</wp:posOffset>
          </wp:positionH>
          <wp:positionV relativeFrom="paragraph">
            <wp:posOffset>-286385</wp:posOffset>
          </wp:positionV>
          <wp:extent cx="7578725" cy="90170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_ADM_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3C"/>
    <w:rsid w:val="000E64D2"/>
    <w:rsid w:val="003019CC"/>
    <w:rsid w:val="00315FC5"/>
    <w:rsid w:val="003672E1"/>
    <w:rsid w:val="003D4A36"/>
    <w:rsid w:val="00671C0F"/>
    <w:rsid w:val="006F0E83"/>
    <w:rsid w:val="00716C9A"/>
    <w:rsid w:val="0081513C"/>
    <w:rsid w:val="008C3F1B"/>
    <w:rsid w:val="008E0722"/>
    <w:rsid w:val="00902805"/>
    <w:rsid w:val="00937122"/>
    <w:rsid w:val="009C510F"/>
    <w:rsid w:val="00B71688"/>
    <w:rsid w:val="00BC7108"/>
    <w:rsid w:val="00DF53AB"/>
    <w:rsid w:val="00F45371"/>
    <w:rsid w:val="00F8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2C8B69"/>
  <w15:chartTrackingRefBased/>
  <w15:docId w15:val="{4C7C753B-02D1-4525-9EF8-D021D2A4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513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D4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A36"/>
  </w:style>
  <w:style w:type="paragraph" w:styleId="Rodap">
    <w:name w:val="footer"/>
    <w:basedOn w:val="Normal"/>
    <w:link w:val="RodapChar"/>
    <w:uiPriority w:val="99"/>
    <w:unhideWhenUsed/>
    <w:rsid w:val="003D4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A36"/>
  </w:style>
  <w:style w:type="paragraph" w:customStyle="1" w:styleId="Default">
    <w:name w:val="Default"/>
    <w:rsid w:val="00F82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Ferrari Broch</dc:creator>
  <cp:keywords/>
  <dc:description/>
  <cp:lastModifiedBy>Milena Barbieri Signor</cp:lastModifiedBy>
  <cp:revision>4</cp:revision>
  <dcterms:created xsi:type="dcterms:W3CDTF">2023-01-27T11:52:00Z</dcterms:created>
  <dcterms:modified xsi:type="dcterms:W3CDTF">2023-02-03T14:28:00Z</dcterms:modified>
</cp:coreProperties>
</file>